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CC306E" w:rsidR="00CC306E" w:rsidP="00CC306E" w:rsidRDefault="00CC306E" w14:paraId="1EC746A1" w14:textId="2D29314B">
      <w:pPr>
        <w:pStyle w:val="Geenafstand"/>
        <w:rPr>
          <w:b/>
          <w:bCs/>
        </w:rPr>
      </w:pPr>
      <w:r w:rsidRPr="00CC306E">
        <w:rPr>
          <w:b/>
          <w:bCs/>
        </w:rPr>
        <w:t>AH 257</w:t>
      </w:r>
    </w:p>
    <w:p w:rsidR="00CC306E" w:rsidP="00CC306E" w:rsidRDefault="00CC306E" w14:paraId="71E4A700" w14:textId="75F9101A">
      <w:pPr>
        <w:pStyle w:val="Geenafstand"/>
        <w:rPr>
          <w:b/>
          <w:bCs/>
        </w:rPr>
      </w:pPr>
      <w:r w:rsidRPr="00CC306E">
        <w:rPr>
          <w:b/>
          <w:bCs/>
        </w:rPr>
        <w:t>2024Z12474</w:t>
      </w:r>
    </w:p>
    <w:p w:rsidRPr="00CC306E" w:rsidR="00CC306E" w:rsidP="00CC306E" w:rsidRDefault="00CC306E" w14:paraId="268D96E7" w14:textId="77777777">
      <w:pPr>
        <w:pStyle w:val="Geenafstand"/>
        <w:rPr>
          <w:b/>
          <w:bCs/>
        </w:rPr>
      </w:pPr>
    </w:p>
    <w:p w:rsidR="00CC306E" w:rsidP="00CC306E" w:rsidRDefault="00CC306E" w14:paraId="61C188C7" w14:textId="0AA8869C">
      <w:pPr>
        <w:rPr>
          <w:rFonts w:ascii="Times New Roman" w:hAnsi="Times New Roman"/>
          <w:bCs/>
          <w:sz w:val="24"/>
          <w:szCs w:val="24"/>
        </w:rPr>
      </w:pPr>
      <w:r w:rsidRPr="00A71055">
        <w:rPr>
          <w:rFonts w:ascii="Times New Roman" w:hAnsi="Times New Roman"/>
          <w:bCs/>
          <w:sz w:val="24"/>
          <w:szCs w:val="24"/>
        </w:rPr>
        <w:t>Antwoord van staatssecretaris Coenradie (Justitie en Veiligheid) (ontvangen</w:t>
      </w:r>
      <w:r>
        <w:rPr>
          <w:rFonts w:ascii="Times New Roman" w:hAnsi="Times New Roman"/>
          <w:bCs/>
          <w:sz w:val="24"/>
          <w:szCs w:val="24"/>
        </w:rPr>
        <w:t xml:space="preserve"> 14 oktober 2024)</w:t>
      </w:r>
    </w:p>
    <w:p w:rsidRPr="001D4184" w:rsidR="00CC306E" w:rsidP="000B0079" w:rsidRDefault="00CC306E" w14:paraId="1C7FC2EA" w14:textId="374D069D">
      <w:pPr>
        <w:rPr>
          <w:sz w:val="24"/>
        </w:rPr>
      </w:pPr>
      <w:r w:rsidRPr="001D4184">
        <w:rPr>
          <w:rFonts w:ascii="Times New Roman" w:hAnsi="Times New Roman"/>
          <w:sz w:val="24"/>
        </w:rPr>
        <w:t>Zie ook Aanhangsel Handelingen, vergaderjaar 202</w:t>
      </w:r>
      <w:r>
        <w:rPr>
          <w:rFonts w:ascii="Times New Roman" w:hAnsi="Times New Roman"/>
          <w:sz w:val="24"/>
        </w:rPr>
        <w:t>3</w:t>
      </w:r>
      <w:r w:rsidRPr="001D4184">
        <w:rPr>
          <w:rFonts w:ascii="Times New Roman" w:hAnsi="Times New Roman"/>
          <w:sz w:val="24"/>
        </w:rPr>
        <w:t>-202</w:t>
      </w:r>
      <w:r>
        <w:rPr>
          <w:rFonts w:ascii="Times New Roman" w:hAnsi="Times New Roman"/>
          <w:sz w:val="24"/>
        </w:rPr>
        <w:t>4</w:t>
      </w:r>
      <w:r w:rsidRPr="001D4184">
        <w:rPr>
          <w:rFonts w:ascii="Times New Roman" w:hAnsi="Times New Roman"/>
          <w:sz w:val="24"/>
        </w:rPr>
        <w:t>, nr.</w:t>
      </w:r>
      <w:r>
        <w:rPr>
          <w:rFonts w:ascii="Times New Roman" w:hAnsi="Times New Roman"/>
          <w:sz w:val="24"/>
        </w:rPr>
        <w:t xml:space="preserve"> 2508</w:t>
      </w:r>
    </w:p>
    <w:p w:rsidRPr="00CC306E" w:rsidR="00CC306E" w:rsidP="00CC306E" w:rsidRDefault="00CC306E" w14:paraId="18B7D733" w14:textId="420387DB">
      <w:pPr>
        <w:rPr>
          <w:rFonts w:ascii="Times New Roman" w:hAnsi="Times New Roman"/>
          <w:bCs/>
          <w:sz w:val="24"/>
          <w:szCs w:val="24"/>
        </w:rPr>
      </w:pPr>
    </w:p>
    <w:p w:rsidRPr="00374D3C" w:rsidR="00CC306E" w:rsidP="00CC306E" w:rsidRDefault="00CC306E" w14:paraId="5DED3E37" w14:textId="17379179">
      <w:pPr>
        <w:rPr>
          <w:b/>
          <w:bCs/>
        </w:rPr>
      </w:pPr>
      <w:r>
        <w:rPr>
          <w:b/>
          <w:bCs/>
        </w:rPr>
        <w:t>Vraag 1</w:t>
      </w:r>
      <w:r>
        <w:rPr>
          <w:b/>
          <w:bCs/>
        </w:rPr>
        <w:br/>
      </w:r>
      <w:r w:rsidRPr="00374D3C">
        <w:rPr>
          <w:b/>
          <w:bCs/>
        </w:rPr>
        <w:t>Kent u het bericht “Telegram blijft verwijderverzoeken bangalijsten negeren, Offlimits eist toezichthouders in te grijpen”?</w:t>
      </w:r>
      <w:r>
        <w:rPr>
          <w:rStyle w:val="Voetnootmarkering"/>
          <w:b/>
          <w:bCs/>
        </w:rPr>
        <w:footnoteReference w:id="1"/>
      </w:r>
      <w:r w:rsidRPr="00374D3C">
        <w:rPr>
          <w:b/>
          <w:bCs/>
        </w:rPr>
        <w:br/>
      </w:r>
      <w:r>
        <w:rPr>
          <w:b/>
          <w:bCs/>
        </w:rPr>
        <w:br/>
      </w:r>
      <w:r w:rsidRPr="008B1A8C">
        <w:rPr>
          <w:b/>
          <w:bCs/>
        </w:rPr>
        <w:t>Antwoord op vraag 1</w:t>
      </w:r>
      <w:r>
        <w:br/>
        <w:t>Ja, daar ben ik mee bekend.</w:t>
      </w:r>
    </w:p>
    <w:p w:rsidRPr="00213900" w:rsidR="00CC306E" w:rsidP="00CC306E" w:rsidRDefault="00CC306E" w14:paraId="7178B8DE" w14:textId="77777777">
      <w:pPr>
        <w:rPr>
          <w:b/>
          <w:bCs/>
        </w:rPr>
      </w:pPr>
      <w:r>
        <w:rPr>
          <w:b/>
          <w:bCs/>
        </w:rPr>
        <w:t>Vraag 2</w:t>
      </w:r>
      <w:r>
        <w:rPr>
          <w:b/>
          <w:bCs/>
        </w:rPr>
        <w:br/>
      </w:r>
      <w:r w:rsidRPr="00213900">
        <w:rPr>
          <w:b/>
          <w:bCs/>
        </w:rPr>
        <w:t>Deelt u de mening dat het voor slachtoffers van bangalijsten onverteerbaar is dat hun namen nog steeds op Telegram te vinden zijn en dat daardoor nog steeds schade wordt veroorzaakt? Zo ja, waarom? Zo nee, waarom niet?</w:t>
      </w:r>
      <w:r w:rsidRPr="00213900">
        <w:rPr>
          <w:b/>
          <w:bCs/>
        </w:rPr>
        <w:br/>
      </w:r>
      <w:r w:rsidRPr="00213900">
        <w:rPr>
          <w:b/>
          <w:bCs/>
        </w:rPr>
        <w:br/>
      </w:r>
      <w:r w:rsidRPr="008B1A8C">
        <w:rPr>
          <w:b/>
          <w:bCs/>
          <w:shd w:val="clear" w:color="auto" w:fill="FFFFFF"/>
        </w:rPr>
        <w:t>Antwoord op vraag 2</w:t>
      </w:r>
      <w:r>
        <w:rPr>
          <w:shd w:val="clear" w:color="auto" w:fill="FFFFFF"/>
        </w:rPr>
        <w:br/>
      </w:r>
      <w:r w:rsidRPr="00213900">
        <w:rPr>
          <w:shd w:val="clear" w:color="auto" w:fill="FFFFFF"/>
        </w:rPr>
        <w:t>Ja, ik deel die mening. Ik vind het onverteerbaar voor slachtoffers en maak mij grote zorgen hierover. Het heeft enorme impact op deze vrouwen en dit raakt mij diep.</w:t>
      </w:r>
    </w:p>
    <w:p w:rsidRPr="00BF05E8" w:rsidR="00CC306E" w:rsidP="00CC306E" w:rsidRDefault="00CC306E" w14:paraId="3F590446" w14:textId="77777777">
      <w:r>
        <w:rPr>
          <w:b/>
          <w:bCs/>
        </w:rPr>
        <w:t>Vraag 3</w:t>
      </w:r>
      <w:r>
        <w:rPr>
          <w:b/>
          <w:bCs/>
        </w:rPr>
        <w:br/>
      </w:r>
      <w:r w:rsidRPr="00840619">
        <w:rPr>
          <w:b/>
          <w:bCs/>
        </w:rPr>
        <w:t>Deelt u de mening van Offlimits dat het “uitblijven van actie vanuit de overheid [tegen Bangalijsten op Telegram] onbegrijpelijk en onacceptabel” is? Zo ja, waarom? Zo nee, waarom niet en welke actie is dan tot nu toe wel door toezichthouders ondernomen?</w:t>
      </w:r>
      <w:r w:rsidRPr="00840619">
        <w:rPr>
          <w:b/>
          <w:bCs/>
        </w:rPr>
        <w:br/>
      </w:r>
      <w:r w:rsidRPr="00840619">
        <w:rPr>
          <w:b/>
          <w:bCs/>
        </w:rPr>
        <w:br/>
      </w:r>
      <w:r w:rsidRPr="008B1A8C">
        <w:rPr>
          <w:b/>
          <w:bCs/>
        </w:rPr>
        <w:t>Antwoord op vraag 3</w:t>
      </w:r>
      <w:r w:rsidRPr="008B1A8C">
        <w:br/>
      </w:r>
      <w:r>
        <w:t xml:space="preserve">Ik begrijp dat het voortbestaan van de bangalijsten verschrikkelijk is voor de betrokkenen en dat zij hier ernstig last van kunnen hebben en ik betreur dan ook de houding van Telegram. Daarom volg ik met interesse de afwegingen die de </w:t>
      </w:r>
      <w:r>
        <w:lastRenderedPageBreak/>
        <w:t>organisaties maken die mogelijk actie kunnen ondernemen, te weten het Openbaar Ministerie, de Autoriteit Persoonsgegevens en de Autoriteit Consument en Markt. Zij hebben verregaande zelfstandigheid en het is uiteindelijk aan hen om per geval een afweging te maken over de eventuele toepassing van beschikbare bevoegdheden en instrumenten.</w:t>
      </w:r>
      <w:r>
        <w:br/>
      </w:r>
    </w:p>
    <w:p w:rsidR="00CC306E" w:rsidP="00CC306E" w:rsidRDefault="00CC306E" w14:paraId="5505D35C" w14:textId="77777777">
      <w:r>
        <w:t xml:space="preserve">Het Openbaar Ministerie doet samen met de politie momenteel breder onderzoek naar de mate waarin Telegram meewerkt aan Notice and Action-verzoeken, waartoe zij zelf via hun eigen website oproepen. Vooralsnog is uit het onderzoek van het Openbaar Ministerie naar voren gekomen dat Telegram  Notice and Action-verzoeken niet honoreert, waarbij het gaat om het verzoek tot het verwijderen van divers strafbaar materiaal, waaronder bangalijsten. Daarnaast wordt door het Openbaar Ministerie onderzocht of en in hoeverre Telegram (inmiddels) wel meewerkt aan bevelen tot het ontoegankelijk maken van content op basis van rechterlijke machtigingen. Dit omvat onder andere bevelen op basis van artikel 125p </w:t>
      </w:r>
      <w:r w:rsidRPr="007136AE">
        <w:t>van het Wetboek van Strafvordering</w:t>
      </w:r>
      <w:r>
        <w:t xml:space="preserve"> waarbij, </w:t>
      </w:r>
      <w:r w:rsidRPr="007136AE">
        <w:t xml:space="preserve">na machtiging van de rechter-commissaris, een </w:t>
      </w:r>
      <w:r>
        <w:t xml:space="preserve">online </w:t>
      </w:r>
      <w:r w:rsidRPr="007136AE">
        <w:t xml:space="preserve">aanbieder kan </w:t>
      </w:r>
      <w:r>
        <w:t>worden bevolen</w:t>
      </w:r>
      <w:r w:rsidRPr="007136AE">
        <w:t xml:space="preserve"> om </w:t>
      </w:r>
      <w:r>
        <w:t>inhoud</w:t>
      </w:r>
      <w:r w:rsidRPr="007136AE">
        <w:t xml:space="preserve"> ontoegankelijk te maken wanneer </w:t>
      </w:r>
      <w:r>
        <w:t xml:space="preserve">er sprake is van </w:t>
      </w:r>
      <w:r w:rsidRPr="007136AE">
        <w:t>strafbare inhoud</w:t>
      </w:r>
      <w:r>
        <w:t>. Het onderzoek beslaat een breed scala aan verdenkingen van strafbare feiten, zoals de online handel in drugs en wapens, terreur en online materiaal van seksueel kindermisbruik. Afhankelijk van hoe het Openbaar Ministerie de uitkomsten van het onderzoek beoordeelt, worden vervolgacties overwogen. H</w:t>
      </w:r>
      <w:r w:rsidRPr="00E50D62">
        <w:t xml:space="preserve">et Openbaar Ministerie </w:t>
      </w:r>
      <w:r>
        <w:t>maakt per geval een afweging over vervolgstappen,</w:t>
      </w:r>
      <w:r w:rsidRPr="00E50D62">
        <w:t xml:space="preserve"> rekening houdend met </w:t>
      </w:r>
      <w:r>
        <w:t xml:space="preserve">de beschikbare capaciteit en </w:t>
      </w:r>
      <w:r w:rsidRPr="00E50D62">
        <w:t xml:space="preserve">de omstandigheden </w:t>
      </w:r>
      <w:r>
        <w:t>van het geval</w:t>
      </w:r>
      <w:r w:rsidRPr="00E50D62">
        <w:t>.</w:t>
      </w:r>
    </w:p>
    <w:p w:rsidR="00CC306E" w:rsidP="00CC306E" w:rsidRDefault="00CC306E" w14:paraId="5B8A59C5" w14:textId="77777777">
      <w:pPr>
        <w:ind w:left="360"/>
      </w:pPr>
    </w:p>
    <w:p w:rsidR="00CC306E" w:rsidP="00CC306E" w:rsidRDefault="00CC306E" w14:paraId="65A2C33D" w14:textId="77777777">
      <w:r>
        <w:t xml:space="preserve">Ten aanzien van de Autoriteit Persoonsgegevens (AP) is in een eerdere beantwoording van </w:t>
      </w:r>
      <w:r w:rsidRPr="00D9484B">
        <w:t xml:space="preserve">Kamervragen </w:t>
      </w:r>
      <w:r>
        <w:t>aan de staatssecretaris van Justitie en Veiligheid, de Staatssecretaris Rechtsbescherming en de minister van Onderwijs, Cultuur en Wetenschap ingegaan</w:t>
      </w:r>
      <w:r w:rsidRPr="00D9484B">
        <w:t xml:space="preserve"> </w:t>
      </w:r>
      <w:r>
        <w:t>op de onderzoeks- en handhavingsbevoegdheden die de AP heeft.</w:t>
      </w:r>
      <w:r>
        <w:rPr>
          <w:rStyle w:val="Voetnootmarkering"/>
        </w:rPr>
        <w:footnoteReference w:id="2"/>
      </w:r>
      <w:r>
        <w:t xml:space="preserve"> Eén van de mogelijkheden die daarbij wordt genoemd, is dat belanghebbenden om handhaving kunnen vragen door middel van een handhavingsverzoek. Op basis van het bericht van Offlimits stel ik vast dat deze stap nu is gezet. Het is aan de AP om eventuele vervolgstappen te bepalen. Uiteraard zal ik de ontwikkelingen daaromtrent met interesse blijven volgen.</w:t>
      </w:r>
      <w:r>
        <w:br/>
      </w:r>
      <w:r>
        <w:br/>
        <w:t>De Autoriteit Consument en Markt (ACM) is de (beoogd) toezichthouder op de</w:t>
      </w:r>
      <w:r w:rsidRPr="009022C3">
        <w:t xml:space="preserve"> </w:t>
      </w:r>
      <w:r w:rsidRPr="009022C3">
        <w:lastRenderedPageBreak/>
        <w:t>digitaledienstenverordening</w:t>
      </w:r>
      <w:r>
        <w:rPr>
          <w:rStyle w:val="Voetnootmarkering"/>
        </w:rPr>
        <w:footnoteReference w:id="3"/>
      </w:r>
      <w:r>
        <w:t xml:space="preserve"> (</w:t>
      </w:r>
      <w:r w:rsidRPr="009022C3">
        <w:rPr>
          <w:i/>
          <w:iCs/>
        </w:rPr>
        <w:t>Digital Services Act</w:t>
      </w:r>
      <w:r>
        <w:t xml:space="preserve"> – DSA) in Nederland. Telegram is echter wettelijk vertegenwoordigd in België. Daarom is het primair aan de Belgische toezichthouder te besluiten over handhaving ten aanzien van Telegram op grond van de DSA. Uit het feit dat het handhavingsverzoek tevens aan de beoogd toezichthouder op de DSA in België is verzonden blijkt dat de verzoekers dit aspect in overweging hebben genomen. Net als in Nederland moet de uitvoeringswet in België echter nog door het parlement worden behandeld alvorens er toezicht kan worden gehouden.</w:t>
      </w:r>
    </w:p>
    <w:p w:rsidR="00CC306E" w:rsidP="00CC306E" w:rsidRDefault="00CC306E" w14:paraId="3028F1D9" w14:textId="77777777">
      <w:pPr>
        <w:ind w:left="360"/>
      </w:pPr>
    </w:p>
    <w:p w:rsidR="00CC306E" w:rsidP="00CC306E" w:rsidRDefault="00CC306E" w14:paraId="2DD2E0E2" w14:textId="77777777">
      <w:r>
        <w:t xml:space="preserve">Belangrijk om op te merken is dat de reikwijdte van de DSA op de verschillende functies van Telegram nog niet geheel duidelijk is. Het is waarschijnlijk dat de openbare chatgroepen op Telegram voldoen aan de definitie van online platform onder de DSA, waardoor dat onderdeel van de dienst aan de daarvoor geldende verplichtingen zal moeten voldoen. Besloten (groeps)gesprekken vallen niet onder de definitie van online platform van de DSA, net zoals vergelijkbare interpersoonlijke communicatiediensten zoals WhatsApp, Signal, en Facebook Messenger er niet onder vallen. </w:t>
      </w:r>
    </w:p>
    <w:p w:rsidR="00CC306E" w:rsidP="00CC306E" w:rsidRDefault="00CC306E" w14:paraId="0E0A09C8" w14:textId="77777777">
      <w:pPr>
        <w:ind w:left="360"/>
      </w:pPr>
    </w:p>
    <w:p w:rsidR="00CC306E" w:rsidP="00CC306E" w:rsidRDefault="00CC306E" w14:paraId="322602AB" w14:textId="77777777">
      <w:pPr>
        <w:spacing w:line="240" w:lineRule="auto"/>
        <w:rPr>
          <w:b/>
          <w:bCs/>
        </w:rPr>
      </w:pPr>
      <w:r>
        <w:rPr>
          <w:b/>
          <w:bCs/>
        </w:rPr>
        <w:br w:type="page"/>
      </w:r>
    </w:p>
    <w:p w:rsidR="00CC306E" w:rsidP="00CC306E" w:rsidRDefault="00CC306E" w14:paraId="774118C2" w14:textId="77777777">
      <w:r w:rsidRPr="008B1A8C">
        <w:rPr>
          <w:b/>
          <w:bCs/>
        </w:rPr>
        <w:lastRenderedPageBreak/>
        <w:t>Vraag 4</w:t>
      </w:r>
      <w:r w:rsidRPr="008B1A8C">
        <w:rPr>
          <w:b/>
          <w:bCs/>
        </w:rPr>
        <w:br/>
        <w:t>Over welke juridische instrumenten beschikken de in het bericht genoemde toezichthouders, te weten de Autoriteit Persoonsgegevens, de Autoriteit Consument en Markt, de Belgische toezichthouders en de Europese Commissie, om handhavend tegen Telegram te kunnen optreden? Zijn deze instrumenten effectief om er voor te kunnen zorgen dat de bangalijsten van Telegram verdwijnen? Zo ja, waarom is daar dan nog geen gebruik van gemaakt? Zo nee, waarom niet en welke instrumenten zijn nog wel beschikbaar om handhavend te kunnen optreden?</w:t>
      </w:r>
      <w:r w:rsidRPr="008B1A8C">
        <w:rPr>
          <w:b/>
          <w:bCs/>
        </w:rPr>
        <w:br/>
      </w:r>
      <w:r w:rsidRPr="008B1A8C">
        <w:rPr>
          <w:b/>
          <w:bCs/>
        </w:rPr>
        <w:br/>
        <w:t>Antwoord op vraag 4</w:t>
      </w:r>
      <w:r>
        <w:br/>
        <w:t>Zoals aangegeven in het antwoord op vraag 3 heeft de AP diverse onderzoeks- en handhavingsbevoegdheden. Zo kan de AP onderzoek instellen naar de naleving van de gegevensbeschermingswetgeving en in het kader daarvan audits uitvoeren en gegevensverwerkingen inzien. Wanneer de AP een overtreding constateert, kan de AP een boete of dwangsom opleggen, en bevelen tot het stopzeten van gegevensverwerkingen.</w:t>
      </w:r>
      <w:r>
        <w:rPr>
          <w:rStyle w:val="Voetnootmarkering"/>
        </w:rPr>
        <w:footnoteReference w:id="4"/>
      </w:r>
      <w:r>
        <w:t xml:space="preserve"> Het is aan de AP om te beoordelen of in het geval van de bangalijsten sprake is van een schending van de gegevensbeschermingswetgeving en of zij tot handhaving overgaat en zo ja, in welke vorm dat gebeurt. Belanghebbenden kunnen hier ook om vragen door middel van een handhavingsverzoek, waarin de AP wordt verzocht om van haar bevoegdheden gebruik te maken. Nu dit laatste in gang is gezet, kijk ik met belangstelling uit naar de afweging van de AP. </w:t>
      </w:r>
      <w:r w:rsidRPr="008B1A8C">
        <w:rPr>
          <w:b/>
          <w:bCs/>
        </w:rPr>
        <w:br/>
      </w:r>
      <w:r w:rsidRPr="008B1A8C">
        <w:rPr>
          <w:b/>
          <w:bCs/>
        </w:rPr>
        <w:br/>
      </w:r>
      <w:r w:rsidRPr="009B494A">
        <w:t>Telegram</w:t>
      </w:r>
      <w:r>
        <w:t xml:space="preserve"> valt</w:t>
      </w:r>
      <w:r w:rsidRPr="009B494A">
        <w:t xml:space="preserve"> onder toezicht van de Belgische toezichthouder</w:t>
      </w:r>
      <w:r>
        <w:t>s (zie voor toelichting onder vraag 3). Z</w:t>
      </w:r>
      <w:r w:rsidRPr="009B494A">
        <w:t xml:space="preserve">owel </w:t>
      </w:r>
      <w:r>
        <w:t>de Belgische</w:t>
      </w:r>
      <w:r w:rsidRPr="009B494A">
        <w:t xml:space="preserve"> toezichthouder</w:t>
      </w:r>
      <w:r>
        <w:t>s</w:t>
      </w:r>
      <w:r w:rsidRPr="009B494A">
        <w:t xml:space="preserve"> als de ACM </w:t>
      </w:r>
      <w:r>
        <w:t>zijn nog</w:t>
      </w:r>
      <w:r w:rsidRPr="009B494A">
        <w:t xml:space="preserve"> niet bevoegd</w:t>
      </w:r>
      <w:r>
        <w:t>,</w:t>
      </w:r>
      <w:r w:rsidRPr="009B494A">
        <w:t xml:space="preserve"> omdat de betreffende uitvoeringswetgeving nog niet is aangenomen.</w:t>
      </w:r>
      <w:r>
        <w:t xml:space="preserve"> </w:t>
      </w:r>
      <w:r w:rsidRPr="009B494A">
        <w:t xml:space="preserve">Zodra dat </w:t>
      </w:r>
      <w:r>
        <w:t xml:space="preserve">wel </w:t>
      </w:r>
      <w:r w:rsidRPr="009B494A">
        <w:t>het geval is, en voor zover Telegram onder de DSA valt, biedt de DSA diverse bevoegdheden</w:t>
      </w:r>
      <w:r>
        <w:t xml:space="preserve"> die de</w:t>
      </w:r>
      <w:r w:rsidRPr="0026140C">
        <w:t xml:space="preserve"> nationale toezichthouders en de Europese Commissie in staat stel</w:t>
      </w:r>
      <w:r>
        <w:t>len</w:t>
      </w:r>
      <w:r w:rsidRPr="0026140C">
        <w:t xml:space="preserve"> om onderzoek</w:t>
      </w:r>
      <w:r>
        <w:t>s</w:t>
      </w:r>
      <w:r w:rsidRPr="0026140C">
        <w:t xml:space="preserve">- en sanctiemaatregelen te nemen. Bij een vermoeden van niet-naleving </w:t>
      </w:r>
      <w:r>
        <w:t xml:space="preserve">van bepalingen uit de DSA </w:t>
      </w:r>
      <w:r w:rsidRPr="0026140C">
        <w:t xml:space="preserve">door online aanbieders kunnen bijvoorbeeld informatieverzoeken worden gedaan, inspecties worden uitgevoerd of gesprekken worden afgenomen. </w:t>
      </w:r>
      <w:r>
        <w:t>Voor w</w:t>
      </w:r>
      <w:r w:rsidRPr="0026140C">
        <w:t xml:space="preserve">at betreft de sanctionering is er </w:t>
      </w:r>
      <w:r>
        <w:t xml:space="preserve">in </w:t>
      </w:r>
      <w:r w:rsidRPr="0026140C">
        <w:t>een opbouw van handhavingsmogelijkheden voorzien. De DSA biedt</w:t>
      </w:r>
      <w:r>
        <w:t xml:space="preserve"> ruimte</w:t>
      </w:r>
      <w:r w:rsidRPr="0026140C">
        <w:t xml:space="preserve"> om geldboeten en dwangsommen op te leggen</w:t>
      </w:r>
      <w:r>
        <w:t xml:space="preserve"> en in</w:t>
      </w:r>
      <w:r w:rsidRPr="0026140C">
        <w:t xml:space="preserve"> uiterste gevallen en onder bepaalde </w:t>
      </w:r>
      <w:r>
        <w:t xml:space="preserve">stringente </w:t>
      </w:r>
      <w:r w:rsidRPr="0026140C">
        <w:t xml:space="preserve">voorwaarden kan de toezichthouder de rechter verzoeken om </w:t>
      </w:r>
      <w:r w:rsidRPr="0026140C">
        <w:lastRenderedPageBreak/>
        <w:t>de toegang tot een dienst tijdelijk te beperken.</w:t>
      </w:r>
      <w:r>
        <w:rPr>
          <w:rStyle w:val="Voetnootmarkering"/>
        </w:rPr>
        <w:footnoteReference w:id="5"/>
      </w:r>
      <w:r>
        <w:t xml:space="preserve"> De ACM kan – na inwerkingtreding van de uitvoeringswet – als Nederlandse toezichthouder gebruik maken van de mogelijkheden die de DSA biedt om de Belgische toezichthouders te verzoeken om onderzoeks- en handhavingsmaatregelen te nemen.</w:t>
      </w:r>
      <w:r>
        <w:rPr>
          <w:rStyle w:val="Voetnootmarkering"/>
        </w:rPr>
        <w:footnoteReference w:id="6"/>
      </w:r>
      <w:r>
        <w:t xml:space="preserve"> Ook gezamenlijk onderzoek met de Belgische toezichthouders op hun initiatief of op aanbeveling van de digitaledienstenraad behoort tot de mogelijkheden. Meldingen die bij toezichthouders onder de DSA worden gedaan gelden als signalen die helpen bij het uitvoeren van het toezicht en de handhaving op de naleving van de DSA. De toezichthouders hebben geen instrumenten om verwijdering van specifieke content af te dwingen. Wel is het zo dat onder de DSA de </w:t>
      </w:r>
      <w:r w:rsidRPr="00A60C21">
        <w:t xml:space="preserve">aansprakelijkheidsvrijstelling </w:t>
      </w:r>
      <w:r>
        <w:t>wegvalt</w:t>
      </w:r>
      <w:r w:rsidRPr="00A60C21">
        <w:t xml:space="preserve"> op het moment dat Telegram op de hoogte is van bepaalde illegale </w:t>
      </w:r>
      <w:r>
        <w:t>content</w:t>
      </w:r>
      <w:r w:rsidRPr="00A60C21">
        <w:t xml:space="preserve"> en niet prompt handelt om die inhoud te verwijderen</w:t>
      </w:r>
      <w:r>
        <w:t xml:space="preserve"> of anderszins </w:t>
      </w:r>
      <w:r w:rsidRPr="00A60C21">
        <w:t xml:space="preserve">ontoegankelijk te maken. </w:t>
      </w:r>
      <w:r>
        <w:t xml:space="preserve">Hiermee voorziet de DSA in </w:t>
      </w:r>
      <w:r w:rsidRPr="00A60C21">
        <w:t xml:space="preserve">een prikkel om illegale </w:t>
      </w:r>
      <w:r>
        <w:t>content</w:t>
      </w:r>
      <w:r w:rsidRPr="00A60C21">
        <w:t xml:space="preserve"> te verwijderen.</w:t>
      </w:r>
      <w:r>
        <w:br/>
      </w:r>
      <w:r>
        <w:br/>
        <w:t xml:space="preserve">De AP kan in individuele gevallen handhavend optreden als er sprake is van schending van de </w:t>
      </w:r>
      <w:r w:rsidRPr="00E038AF">
        <w:t>Algemene verordening gegevensbescherming (AVG</w:t>
      </w:r>
      <w:r>
        <w:t>).</w:t>
      </w:r>
      <w:r w:rsidRPr="00E5134D">
        <w:t xml:space="preserve"> </w:t>
      </w:r>
      <w:r>
        <w:t>Wanneer de AP een overtreding constateert, kan de AP een boete of dwangsom opleggen, en bevelen tot het stopzeten van gegevensverwerkingen. Weigert een partij, dan kan de AP aanvullende maatregelen nemen of een g</w:t>
      </w:r>
      <w:r w:rsidRPr="00E335E0">
        <w:t>erechtelijke procedure</w:t>
      </w:r>
      <w:r>
        <w:t xml:space="preserve"> starten.</w:t>
      </w:r>
      <w:r>
        <w:rPr>
          <w:rStyle w:val="Voetnootmarkering"/>
        </w:rPr>
        <w:footnoteReference w:id="7"/>
      </w:r>
      <w:r>
        <w:br/>
        <w:t>Voor de beoogde toezichthouders onder de DSA geldt</w:t>
      </w:r>
      <w:r w:rsidRPr="00A954F5">
        <w:t xml:space="preserve"> </w:t>
      </w:r>
      <w:r>
        <w:t>dat, z</w:t>
      </w:r>
      <w:r w:rsidRPr="00A954F5">
        <w:t>odra zij bevoegd zijn</w:t>
      </w:r>
      <w:r>
        <w:t>,</w:t>
      </w:r>
      <w:r w:rsidRPr="00A954F5">
        <w:t xml:space="preserve"> het aan hen </w:t>
      </w:r>
      <w:r>
        <w:t xml:space="preserve">is </w:t>
      </w:r>
      <w:r w:rsidRPr="00A954F5">
        <w:t xml:space="preserve">om te bepalen </w:t>
      </w:r>
      <w:r>
        <w:t>of en op welke wijze zij opvolging geven aan een handhavingsverzoek.</w:t>
      </w:r>
    </w:p>
    <w:p w:rsidRPr="00D062DB" w:rsidR="00CC306E" w:rsidP="00CC306E" w:rsidRDefault="00CC306E" w14:paraId="175FC4FD" w14:textId="77777777">
      <w:pPr>
        <w:ind w:left="360"/>
        <w:rPr>
          <w:b/>
          <w:bCs/>
        </w:rPr>
      </w:pPr>
    </w:p>
    <w:p w:rsidRPr="000D2126" w:rsidR="00CC306E" w:rsidP="00CC306E" w:rsidRDefault="00CC306E" w14:paraId="5014D0C9" w14:textId="77777777">
      <w:r>
        <w:rPr>
          <w:b/>
          <w:bCs/>
        </w:rPr>
        <w:t>Vraag 5</w:t>
      </w:r>
      <w:r>
        <w:rPr>
          <w:b/>
          <w:bCs/>
        </w:rPr>
        <w:br/>
      </w:r>
      <w:r w:rsidRPr="000D2126">
        <w:rPr>
          <w:b/>
          <w:bCs/>
        </w:rPr>
        <w:t xml:space="preserve">Deelt u de mening dat als er niet handhavend tegen Telegram kan worden opgetreden dat dan betekent dat Telegram en vergelijkbare berichtendiensten en internetsites voortaan vrij spel hebben om strafbare content te verspreiden waaronder “wapens, drugs, beeldmateriaal van seksueel kindermisbruik en dus ook bangalijsten” en dat dan het grondrecht op een persoonlijke levenssfeer niet </w:t>
      </w:r>
      <w:r w:rsidRPr="000D2126">
        <w:rPr>
          <w:b/>
          <w:bCs/>
        </w:rPr>
        <w:lastRenderedPageBreak/>
        <w:t>meer gewaarborgd kan worden? Zo ja, deelt u dan ook de mening dat dit onaanvaardbaar is en wat gaat u doen om er voor te zorgen dat er wel handhavend kan worden opgetreden? Zo nee, waarom niet?</w:t>
      </w:r>
      <w:r w:rsidRPr="000D2126">
        <w:rPr>
          <w:b/>
          <w:bCs/>
        </w:rPr>
        <w:br/>
      </w:r>
      <w:r w:rsidRPr="000D2126">
        <w:rPr>
          <w:b/>
          <w:bCs/>
        </w:rPr>
        <w:br/>
      </w:r>
      <w:r w:rsidRPr="008B1A8C">
        <w:rPr>
          <w:b/>
          <w:bCs/>
        </w:rPr>
        <w:t>Antwoord op vraag 5</w:t>
      </w:r>
      <w:r>
        <w:br/>
      </w:r>
      <w:r w:rsidRPr="000D2126">
        <w:t xml:space="preserve">Ik deel de mening dat het onaanvaardbaar is als online omgevingen verworden tot een vrijhaven voor illegale content en strafbare activiteiten. De DSA stelt dan ook dat openbare sociale media gehouden zijn op te treden tegen het openbaar maken en verspreiden van illegale content als zij er weet van hebben dat dit via hun platformen plaatsvindt. Bij berichtendiensten, zoals WhatsApp, Signal, maar dus ook Telegram, is de wetgever terughoudender om het belang van opsporing en handhaving te faciliteren, omdat daarbij grondrechten van gebruikers in het geding kunnen komen, zoals het recht op privacy en het recht op communicatie- en briefgeheim. </w:t>
      </w:r>
    </w:p>
    <w:p w:rsidR="00CC306E" w:rsidP="00CC306E" w:rsidRDefault="00CC306E" w14:paraId="499A95AC" w14:textId="77777777">
      <w:r>
        <w:t xml:space="preserve">De aanhoudende inzet van rechtshandhavingsautoriteiten samen met relatief recente ontwikkelingen zoals de introductie van de </w:t>
      </w:r>
      <w:r w:rsidRPr="009B2AC4">
        <w:t>Verordening Terroristische Online Inhoud</w:t>
      </w:r>
      <w:r>
        <w:rPr>
          <w:rStyle w:val="Voetnootmarkering"/>
        </w:rPr>
        <w:footnoteReference w:id="8"/>
      </w:r>
      <w:r>
        <w:t xml:space="preserve"> en de DSA, en de oprichting van de Autoriteit Terroristisch en Kinderpornografisch Materiaal (ATKM) versterken de handhavings</w:t>
      </w:r>
      <w:r>
        <w:softHyphen/>
        <w:t>mogelijkheden ten aanzien van online aanbieders. Daarnaast blijft het kabinet zich inspannen voor aanvullende wetgevende instrumenten waar nodig, zoals</w:t>
      </w:r>
      <w:r w:rsidRPr="009B2AC4">
        <w:t xml:space="preserve"> </w:t>
      </w:r>
      <w:r>
        <w:t xml:space="preserve">de Verordening ter voorkoming en bestrijding van seksueel kindermisbruik waarover nog wordt onderhandeld. </w:t>
      </w:r>
    </w:p>
    <w:p w:rsidR="00CC306E" w:rsidP="00CC306E" w:rsidRDefault="00CC306E" w14:paraId="4A6CBB7B" w14:textId="77777777">
      <w:r>
        <w:t> </w:t>
      </w:r>
      <w:r>
        <w:br/>
      </w:r>
    </w:p>
    <w:p w:rsidR="00CC306E" w:rsidP="00CC306E" w:rsidRDefault="00CC306E" w14:paraId="486128E9" w14:textId="47D8DACA"/>
    <w:p w:rsidR="00CC306E" w:rsidP="00CC306E" w:rsidRDefault="00CC306E" w14:paraId="526B5A92" w14:textId="77777777"/>
    <w:p w:rsidR="00C16AB5" w:rsidRDefault="00C16AB5" w14:paraId="7B7E6A67" w14:textId="77777777"/>
    <w:sectPr w:rsidR="00C16AB5" w:rsidSect="00CC306E">
      <w:headerReference w:type="even" r:id="rId7"/>
      <w:headerReference w:type="default" r:id="rId8"/>
      <w:footerReference w:type="even" r:id="rId9"/>
      <w:footerReference w:type="default" r:id="rId10"/>
      <w:headerReference w:type="first" r:id="rId11"/>
      <w:footerReference w:type="first" r:id="rId12"/>
      <w:pgSz w:w="11905" w:h="16837"/>
      <w:pgMar w:top="3764"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F124A4" w14:textId="77777777" w:rsidR="00CC306E" w:rsidRDefault="00CC306E" w:rsidP="00CC306E">
      <w:pPr>
        <w:spacing w:after="0" w:line="240" w:lineRule="auto"/>
      </w:pPr>
      <w:r>
        <w:separator/>
      </w:r>
    </w:p>
  </w:endnote>
  <w:endnote w:type="continuationSeparator" w:id="0">
    <w:p w14:paraId="0E09EE61" w14:textId="77777777" w:rsidR="00CC306E" w:rsidRDefault="00CC306E" w:rsidP="00CC30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DD2AE" w14:textId="77777777" w:rsidR="00CC306E" w:rsidRPr="00CC306E" w:rsidRDefault="00CC306E" w:rsidP="00CC306E">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CC7AB" w14:textId="77777777" w:rsidR="00CC306E" w:rsidRPr="00CC306E" w:rsidRDefault="00CC306E" w:rsidP="00CC306E">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1027EB" w14:textId="77777777" w:rsidR="00CC306E" w:rsidRPr="00CC306E" w:rsidRDefault="00CC306E" w:rsidP="00CC306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9027BB" w14:textId="77777777" w:rsidR="00CC306E" w:rsidRDefault="00CC306E" w:rsidP="00CC306E">
      <w:pPr>
        <w:spacing w:after="0" w:line="240" w:lineRule="auto"/>
      </w:pPr>
      <w:r>
        <w:separator/>
      </w:r>
    </w:p>
  </w:footnote>
  <w:footnote w:type="continuationSeparator" w:id="0">
    <w:p w14:paraId="0DB8C667" w14:textId="77777777" w:rsidR="00CC306E" w:rsidRDefault="00CC306E" w:rsidP="00CC306E">
      <w:pPr>
        <w:spacing w:after="0" w:line="240" w:lineRule="auto"/>
      </w:pPr>
      <w:r>
        <w:continuationSeparator/>
      </w:r>
    </w:p>
  </w:footnote>
  <w:footnote w:id="1">
    <w:p w14:paraId="0C9C7061" w14:textId="5F9A788F" w:rsidR="00CC306E" w:rsidRDefault="00CC306E" w:rsidP="00CC306E">
      <w:r>
        <w:rPr>
          <w:rStyle w:val="Voetnootmarkering"/>
        </w:rPr>
        <w:footnoteRef/>
      </w:r>
      <w:r>
        <w:t xml:space="preserve"> </w:t>
      </w:r>
      <w:r>
        <w:t>Offlimits, 19 augustus 2024, 'Telegram blijft verwijderverzoeken bangalijsten negeren, Offlimits eist toezichthouders in te grijpen', www.offlimits.nl/nieuws/telegram-blijft-verwijderverzoeken-bangalijsten-negeren-offlimits-eist-toezicht</w:t>
      </w:r>
      <w:r>
        <w:br/>
      </w:r>
    </w:p>
    <w:p w14:paraId="49D482A8" w14:textId="688FFA80" w:rsidR="00CC306E" w:rsidRDefault="00CC306E">
      <w:pPr>
        <w:pStyle w:val="Voetnoottekst"/>
      </w:pPr>
    </w:p>
  </w:footnote>
  <w:footnote w:id="2">
    <w:p w14:paraId="75FA2B71" w14:textId="77777777" w:rsidR="00CC306E" w:rsidRPr="0073320A" w:rsidRDefault="00CC306E" w:rsidP="00CC306E">
      <w:pPr>
        <w:pStyle w:val="Voetnoottekst"/>
        <w:rPr>
          <w:color w:val="auto"/>
          <w:sz w:val="16"/>
          <w:szCs w:val="16"/>
        </w:rPr>
      </w:pPr>
      <w:r w:rsidRPr="0073320A">
        <w:rPr>
          <w:sz w:val="16"/>
          <w:szCs w:val="16"/>
          <w:vertAlign w:val="superscript"/>
        </w:rPr>
        <w:footnoteRef/>
      </w:r>
      <w:r w:rsidRPr="0073320A">
        <w:rPr>
          <w:sz w:val="16"/>
          <w:szCs w:val="16"/>
        </w:rPr>
        <w:t xml:space="preserve"> Antwoord op vragen van het lid Mutluer over het slachtoffers bangalijsten op Telegram, 16 september 2024, 2023-2024,</w:t>
      </w:r>
      <w:r>
        <w:rPr>
          <w:sz w:val="16"/>
          <w:szCs w:val="16"/>
        </w:rPr>
        <w:t>2024Z12011</w:t>
      </w:r>
      <w:r w:rsidRPr="0073320A">
        <w:rPr>
          <w:sz w:val="16"/>
          <w:szCs w:val="16"/>
        </w:rPr>
        <w:t xml:space="preserve"> </w:t>
      </w:r>
    </w:p>
  </w:footnote>
  <w:footnote w:id="3">
    <w:p w14:paraId="19618FC1" w14:textId="77777777" w:rsidR="00CC306E" w:rsidRPr="00B22CC3" w:rsidRDefault="00CC306E" w:rsidP="00CC306E">
      <w:pPr>
        <w:pStyle w:val="Voetnoottekst"/>
        <w:rPr>
          <w:sz w:val="16"/>
          <w:szCs w:val="16"/>
        </w:rPr>
      </w:pPr>
      <w:r w:rsidRPr="00AC7A86">
        <w:rPr>
          <w:rStyle w:val="Voetnootmarkering"/>
          <w:sz w:val="16"/>
          <w:szCs w:val="16"/>
        </w:rPr>
        <w:footnoteRef/>
      </w:r>
      <w:r w:rsidRPr="00AC7A86">
        <w:rPr>
          <w:sz w:val="16"/>
          <w:szCs w:val="16"/>
        </w:rPr>
        <w:t xml:space="preserve"> Verordening (EU) 2022/2065 van het Europees Parlement en de Raad van 19 oktober 2022 betreffende een eengemaakte markt voor digitale diensten en tot wijziging van Richtlijn</w:t>
      </w:r>
      <w:r>
        <w:rPr>
          <w:sz w:val="16"/>
          <w:szCs w:val="16"/>
        </w:rPr>
        <w:t xml:space="preserve"> 2000/31/EG (digitaledienstenverordening)</w:t>
      </w:r>
    </w:p>
  </w:footnote>
  <w:footnote w:id="4">
    <w:p w14:paraId="4ED4A2C6" w14:textId="77777777" w:rsidR="00CC306E" w:rsidRPr="004A081A" w:rsidRDefault="00CC306E" w:rsidP="00CC306E">
      <w:pPr>
        <w:pStyle w:val="Voetnoottekst"/>
        <w:rPr>
          <w:sz w:val="16"/>
          <w:szCs w:val="16"/>
        </w:rPr>
      </w:pPr>
      <w:r w:rsidRPr="00566DBC">
        <w:rPr>
          <w:rStyle w:val="Voetnootmarkering"/>
          <w:sz w:val="16"/>
          <w:szCs w:val="16"/>
        </w:rPr>
        <w:footnoteRef/>
      </w:r>
      <w:r w:rsidRPr="00566DBC">
        <w:rPr>
          <w:sz w:val="16"/>
          <w:szCs w:val="16"/>
        </w:rPr>
        <w:t xml:space="preserve"> </w:t>
      </w:r>
      <w:r w:rsidRPr="004A081A">
        <w:rPr>
          <w:sz w:val="16"/>
          <w:szCs w:val="16"/>
        </w:rPr>
        <w:t>Uitvoeringswet Algemene Verordening Gegevensbescherming (UAVG) artikel 14 en artikel 16 i.c.m</w:t>
      </w:r>
      <w:r>
        <w:rPr>
          <w:sz w:val="16"/>
          <w:szCs w:val="16"/>
        </w:rPr>
        <w:t xml:space="preserve">. </w:t>
      </w:r>
      <w:r w:rsidRPr="004A081A">
        <w:rPr>
          <w:sz w:val="16"/>
          <w:szCs w:val="16"/>
        </w:rPr>
        <w:t>VERORDENING (EU) 2016/679 VAN HET EUROPEES PARLEMENT EN DE RAAD van 27 april 2016 betreffende de bescherming van natuurlijke personen in verband met de verwerking van persoonsgegevens en betreffende het vrije verkeer van die gegevens en tot intrekking van Richtlijn 95/46/EG (algemene verordening gegevensbescherming)</w:t>
      </w:r>
      <w:r>
        <w:rPr>
          <w:sz w:val="16"/>
          <w:szCs w:val="16"/>
        </w:rPr>
        <w:t xml:space="preserve"> </w:t>
      </w:r>
      <w:r w:rsidRPr="004A081A">
        <w:rPr>
          <w:sz w:val="16"/>
          <w:szCs w:val="16"/>
        </w:rPr>
        <w:t>artikel 58 en 83</w:t>
      </w:r>
    </w:p>
  </w:footnote>
  <w:footnote w:id="5">
    <w:p w14:paraId="4E756098" w14:textId="77777777" w:rsidR="00CC306E" w:rsidRPr="00AC2377" w:rsidRDefault="00CC306E" w:rsidP="00CC306E">
      <w:pPr>
        <w:pStyle w:val="Voetnoottekst"/>
        <w:rPr>
          <w:sz w:val="16"/>
          <w:szCs w:val="16"/>
        </w:rPr>
      </w:pPr>
      <w:r w:rsidRPr="00AC2377">
        <w:rPr>
          <w:rStyle w:val="Voetnootmarkering"/>
          <w:sz w:val="16"/>
          <w:szCs w:val="16"/>
        </w:rPr>
        <w:footnoteRef/>
      </w:r>
      <w:r w:rsidRPr="00AC2377">
        <w:rPr>
          <w:sz w:val="16"/>
          <w:szCs w:val="16"/>
        </w:rPr>
        <w:t xml:space="preserve"> Verordening (EU) 2022/2065 van het Europees Parlement en de Raad van 19 oktober 2022 betreffende een eengemaakte markt voor digitale diensten en tot wijziging van Richtlijn 2000/31/EG (digitaledienstenverordening) artikel 51 jo. </w:t>
      </w:r>
      <w:r>
        <w:rPr>
          <w:sz w:val="16"/>
          <w:szCs w:val="16"/>
        </w:rPr>
        <w:t>a</w:t>
      </w:r>
      <w:r w:rsidRPr="00AC2377">
        <w:rPr>
          <w:sz w:val="16"/>
          <w:szCs w:val="16"/>
        </w:rPr>
        <w:t>rtikel 52</w:t>
      </w:r>
    </w:p>
  </w:footnote>
  <w:footnote w:id="6">
    <w:p w14:paraId="080778D2" w14:textId="77777777" w:rsidR="00CC306E" w:rsidRPr="00AC2377" w:rsidRDefault="00CC306E" w:rsidP="00CC306E">
      <w:pPr>
        <w:pStyle w:val="Voetnoottekst"/>
        <w:rPr>
          <w:sz w:val="16"/>
          <w:szCs w:val="16"/>
        </w:rPr>
      </w:pPr>
      <w:r w:rsidRPr="00AC2377">
        <w:rPr>
          <w:rStyle w:val="Voetnootmarkering"/>
          <w:sz w:val="16"/>
          <w:szCs w:val="16"/>
        </w:rPr>
        <w:footnoteRef/>
      </w:r>
      <w:r w:rsidRPr="00AC2377">
        <w:rPr>
          <w:sz w:val="16"/>
          <w:szCs w:val="16"/>
        </w:rPr>
        <w:t xml:space="preserve"> Verordening (EU) 2022/2065 van het Europees Parlement en de Raad van 19 oktober 2022 betreffende een eengemaakte markt voor digitale diensten en tot wijziging van Richtlijn 2000/31/EG (digitaledienstenverordening)</w:t>
      </w:r>
      <w:r>
        <w:rPr>
          <w:sz w:val="16"/>
          <w:szCs w:val="16"/>
        </w:rPr>
        <w:t xml:space="preserve"> </w:t>
      </w:r>
      <w:r w:rsidRPr="00AC2377">
        <w:rPr>
          <w:sz w:val="16"/>
          <w:szCs w:val="16"/>
        </w:rPr>
        <w:t>artikel 58</w:t>
      </w:r>
    </w:p>
    <w:p w14:paraId="21B2BC59" w14:textId="77777777" w:rsidR="00CC306E" w:rsidRDefault="00CC306E" w:rsidP="00CC306E">
      <w:pPr>
        <w:pStyle w:val="Voetnoottekst"/>
      </w:pPr>
    </w:p>
  </w:footnote>
  <w:footnote w:id="7">
    <w:p w14:paraId="60F074AD" w14:textId="77777777" w:rsidR="00CC306E" w:rsidRPr="00DB7316" w:rsidRDefault="00CC306E" w:rsidP="00CC306E">
      <w:pPr>
        <w:pStyle w:val="Voetnoottekst"/>
        <w:rPr>
          <w:sz w:val="16"/>
          <w:szCs w:val="16"/>
        </w:rPr>
      </w:pPr>
      <w:r w:rsidRPr="00DB7316">
        <w:rPr>
          <w:rStyle w:val="Voetnootmarkering"/>
          <w:sz w:val="16"/>
          <w:szCs w:val="16"/>
        </w:rPr>
        <w:footnoteRef/>
      </w:r>
      <w:r w:rsidRPr="00DB7316">
        <w:rPr>
          <w:sz w:val="16"/>
          <w:szCs w:val="16"/>
        </w:rPr>
        <w:t xml:space="preserve"> </w:t>
      </w:r>
      <w:r w:rsidRPr="004A081A">
        <w:rPr>
          <w:sz w:val="16"/>
          <w:szCs w:val="16"/>
        </w:rPr>
        <w:t>Uitvoeringswet Algemene Verordening Gegevensbescherming (UAVG)</w:t>
      </w:r>
      <w:r>
        <w:rPr>
          <w:sz w:val="16"/>
          <w:szCs w:val="16"/>
        </w:rPr>
        <w:t xml:space="preserve"> </w:t>
      </w:r>
      <w:r w:rsidRPr="004A081A">
        <w:rPr>
          <w:sz w:val="16"/>
          <w:szCs w:val="16"/>
        </w:rPr>
        <w:t>artikel 14 en artikel 16 i.c.m. VERORDENING (EU) 2016/679 VAN HET EUROPEES PARLEMENT EN DE RAAD van 27 april 2016 betreffende de bescherming van natuurlijke personen in verband met de verwerking van persoonsgegevens en betreffende het vrije verkeer van die gegevens en tot intrekking van Richtlijn 95/46/EG (algemene verordening gegevensbescherming)</w:t>
      </w:r>
      <w:r>
        <w:rPr>
          <w:sz w:val="16"/>
          <w:szCs w:val="16"/>
        </w:rPr>
        <w:t xml:space="preserve"> </w:t>
      </w:r>
      <w:r w:rsidRPr="004A081A">
        <w:rPr>
          <w:sz w:val="16"/>
          <w:szCs w:val="16"/>
        </w:rPr>
        <w:t>artikel 58 en 83</w:t>
      </w:r>
    </w:p>
  </w:footnote>
  <w:footnote w:id="8">
    <w:p w14:paraId="03B90298" w14:textId="77777777" w:rsidR="00CC306E" w:rsidRPr="0042752E" w:rsidRDefault="00CC306E" w:rsidP="00CC306E">
      <w:pPr>
        <w:pStyle w:val="Voetnoottekst"/>
        <w:rPr>
          <w:sz w:val="18"/>
          <w:szCs w:val="18"/>
        </w:rPr>
      </w:pPr>
      <w:r w:rsidRPr="00DC3752">
        <w:rPr>
          <w:rStyle w:val="Voetnootmarkering"/>
          <w:sz w:val="16"/>
          <w:szCs w:val="16"/>
        </w:rPr>
        <w:footnoteRef/>
      </w:r>
      <w:r w:rsidRPr="00DC3752">
        <w:rPr>
          <w:sz w:val="16"/>
          <w:szCs w:val="16"/>
        </w:rPr>
        <w:t xml:space="preserve"> Verordening (EU) 2021/784 van het Europees Parlement en de Raad van 29 april 2021 inzake het tegengaan van de verspreiding van terroristische online-inhoud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8A84B7" w14:textId="77777777" w:rsidR="00CC306E" w:rsidRPr="00CC306E" w:rsidRDefault="00CC306E" w:rsidP="00CC306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8488D0" w14:textId="77777777" w:rsidR="00CC306E" w:rsidRPr="00CC306E" w:rsidRDefault="00CC306E" w:rsidP="00CC306E">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1B69F3" w14:textId="77777777" w:rsidR="00CC306E" w:rsidRPr="00CC306E" w:rsidRDefault="00CC306E" w:rsidP="00CC306E">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306E"/>
    <w:rsid w:val="00C16AB5"/>
    <w:rsid w:val="00CC306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E9374E"/>
  <w15:chartTrackingRefBased/>
  <w15:docId w15:val="{1032663E-BA85-4D3E-9BA6-141F8898B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Referentiegegevens">
    <w:name w:val="Referentiegegevens"/>
    <w:basedOn w:val="Standaard"/>
    <w:next w:val="Standaard"/>
    <w:rsid w:val="00CC306E"/>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bold">
    <w:name w:val="Referentiegegevens bold"/>
    <w:basedOn w:val="Standaard"/>
    <w:next w:val="Standaard"/>
    <w:rsid w:val="00CC306E"/>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WitregelW1">
    <w:name w:val="Witregel W1"/>
    <w:basedOn w:val="Standaard"/>
    <w:next w:val="Standaard"/>
    <w:rsid w:val="00CC306E"/>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2">
    <w:name w:val="Witregel W2"/>
    <w:basedOn w:val="Standaard"/>
    <w:next w:val="Standaard"/>
    <w:rsid w:val="00CC306E"/>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Voetnoottekst">
    <w:name w:val="footnote text"/>
    <w:basedOn w:val="Standaard"/>
    <w:link w:val="VoetnoottekstChar"/>
    <w:uiPriority w:val="99"/>
    <w:semiHidden/>
    <w:unhideWhenUsed/>
    <w:rsid w:val="00CC306E"/>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CC306E"/>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CC306E"/>
    <w:rPr>
      <w:vertAlign w:val="superscript"/>
    </w:rPr>
  </w:style>
  <w:style w:type="paragraph" w:styleId="Koptekst">
    <w:name w:val="header"/>
    <w:basedOn w:val="Standaard"/>
    <w:link w:val="KoptekstChar"/>
    <w:uiPriority w:val="99"/>
    <w:unhideWhenUsed/>
    <w:rsid w:val="00CC306E"/>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CC306E"/>
  </w:style>
  <w:style w:type="paragraph" w:styleId="Voettekst">
    <w:name w:val="footer"/>
    <w:basedOn w:val="Standaard"/>
    <w:link w:val="VoettekstChar"/>
    <w:uiPriority w:val="99"/>
    <w:unhideWhenUsed/>
    <w:rsid w:val="00CC306E"/>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CC306E"/>
  </w:style>
  <w:style w:type="paragraph" w:styleId="Geenafstand">
    <w:name w:val="No Spacing"/>
    <w:uiPriority w:val="1"/>
    <w:qFormat/>
    <w:rsid w:val="00CC306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header" Target="header2.xml" Id="rId8" /><Relationship Type="http://schemas.openxmlformats.org/officeDocument/2006/relationships/fontTable" Target="fontTable.xml" Id="rId13"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footer" Target="footer3.xml" Id="rId12" /><Relationship Type="http://schemas.openxmlformats.org/officeDocument/2006/relationships/styles" Target="styles.xml" Id="rId2" /><Relationship Type="http://schemas.openxmlformats.org/officeDocument/2006/relationships/endnotes" Target="endnotes.xml" Id="rId6" /><Relationship Type="http://schemas.openxmlformats.org/officeDocument/2006/relationships/header" Target="header3.xml" Id="rId11" /><Relationship Type="http://schemas.openxmlformats.org/officeDocument/2006/relationships/footnotes" Target="footnotes.xml" Id="rId5" /><Relationship Type="http://schemas.openxmlformats.org/officeDocument/2006/relationships/footer" Target="footer2.xml" Id="rId10" /><Relationship Type="http://schemas.openxmlformats.org/officeDocument/2006/relationships/webSettings" Target="webSettings.xml" Id="rId4" /><Relationship Type="http://schemas.openxmlformats.org/officeDocument/2006/relationships/footer" Target="footer1.xml" Id="rId9" /><Relationship Type="http://schemas.openxmlformats.org/officeDocument/2006/relationships/theme" Target="theme/theme1.xml" Id="rId14"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6</ap:Pages>
  <ap:Words>1636</ap:Words>
  <ap:Characters>8998</ap:Characters>
  <ap:DocSecurity>0</ap:DocSecurity>
  <ap:Lines>74</ap:Lines>
  <ap:Paragraphs>21</ap:Paragraphs>
  <ap:ScaleCrop>false</ap:ScaleCrop>
  <ap:LinksUpToDate>false</ap:LinksUpToDate>
  <ap:CharactersWithSpaces>10613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2024-10-15T07:13:00.0000000Z</dcterms:created>
  <dcterms:modified xsi:type="dcterms:W3CDTF">2024-10-15T07:14:00.0000000Z</dcterms:modified>
  <version/>
  <category/>
</coreProperties>
</file>